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A27216" w:rsidRPr="00A27216" w:rsidTr="00A27216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A27216" w:rsidRPr="00A2721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27216" w:rsidRPr="00A27216" w:rsidRDefault="00A27216" w:rsidP="00A2721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A2721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27 Temmuz 2012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27216" w:rsidRPr="00A27216" w:rsidRDefault="00A27216" w:rsidP="00A2721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A27216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27216" w:rsidRPr="00A27216" w:rsidRDefault="00A27216" w:rsidP="00A2721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A2721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28366</w:t>
                  </w:r>
                  <w:proofErr w:type="gramEnd"/>
                </w:p>
              </w:tc>
            </w:tr>
            <w:tr w:rsidR="00A27216" w:rsidRPr="00A2721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A27216" w:rsidRPr="00A27216" w:rsidRDefault="00A27216" w:rsidP="00A272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A27216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A27216" w:rsidRPr="00A2721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da, Tar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 ve Hayvanc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Bakanl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A27216" w:rsidRPr="00A27216" w:rsidRDefault="00A27216" w:rsidP="00A27216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bookmarkStart w:id="0" w:name="_GoBack"/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RK GIDA KODEKS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BAL TEBL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</w:p>
                <w:bookmarkEnd w:id="0"/>
                <w:p w:rsidR="00A27216" w:rsidRPr="00A27216" w:rsidRDefault="00A27216" w:rsidP="00A27216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(TEBL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NO: 2012/58)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tekni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ine uygun ve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hijyenik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retilmesi, haz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lenmesi, depolanmas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nakledilmesi ve piyasaya arz edilmesi 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zelliklerini belirlemektir.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 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Apis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mellifera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taraf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retilen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29/12/2011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28157 3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say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dayan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ge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Bal: Bitki nektarlar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bitkilerin canl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salg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bitkilerin canl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ayan bitki emici b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ceklerin salg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bal 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topland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ktan sonra kendine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maddelerle birle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tirerek de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ratt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su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petekte depolayarak olgunla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al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eve: 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do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petek yapt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temel peteklerin yerle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tirildi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malzemeyi,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Do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petekli bal: Modern kovanlarda,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temel petek kullan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lmadan, 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pete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ile beraber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retilen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F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Yabanc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tat ve kokuya sahip veya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fermentasyona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fermente olmu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cakl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end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striyel veya daha sonra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lenecek di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maddelerinde bile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olarak kullan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 ama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HMF: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Hidroksimetilfurfural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Karakovan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dan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sepetler ve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oyulmu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gibi belirli bir standard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olmayan ve modern 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tekniklerinin uygulanmas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imk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vermeyen ilkel kovanlar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Karakovan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temel petek kullan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lmadan,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karakovanlarda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pete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ile beraber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retilen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Kayna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re;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1)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Bitki nektar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elde edilen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Salg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Bitkilerin canl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salg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veya bitkilerin canl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ayan bitki emici b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ceklerin -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Hemiptera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 salg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elde edilen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ve/veya pazara sunulu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ekline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re;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Petekli bal: Kulu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ama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saf balmumundan haz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temel peteklerin veya 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peteklerin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zlerinde depolanm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tamam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sat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sunulan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 bal: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yavrusuz peteklerden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santrif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yolu ile elde edilen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Petekli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 bal: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 bal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petekli bal par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haz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zma bal: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yavrusuz peteklerden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elde edilen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5) Pres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Yavrusuz peteklerin do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veya 45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°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 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mamak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larak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preslenmesi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elde edilen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6) Filtre edilmi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bal: Yabanc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organik veya inorganik maddelerin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filtrasyon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yolu ile uzakla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polen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nemli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azalm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zellikleri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piyasaya sunulan veya insan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ketimi amac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herhangi bir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maddesinde bile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olarak kullan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bala ait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 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verilmi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Bala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katk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 de 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hi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madde kat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do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bile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iminde bulunmayan organik ve/veya inorganik maddelerden ari olmas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F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bal; bala ait olmayan yabanc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tat ve kokuda,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fermantasyonu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asitli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yapay olarak de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erdi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do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enzimleri par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alayacak ya da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nemli 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zeyde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inaktive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edecek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Filtre edilmi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 ile ilgili h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sakl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yabanc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organik veya inorganik maddelerin ayr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 olan kay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plar 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baldan polen veya di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bala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enler uzakla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Bal,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23/8/2006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26268 say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Kodeksi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eker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yer alan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ekerleri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eremez.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aromas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kayna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ve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retildi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bitkinin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de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mekle birlikte,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kendine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koku ve tada sahip olmas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rengi su beyaz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koyu amber renge kadar de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ebilir. Salg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rengi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pfund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skalaya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en az 60 olmal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Temel petekte balmumunun do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yap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bulunmayan, parafin,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serezin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re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ine, oksalik asit gibi organik maddeler ile 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 gibi inorganik maddeler bulunamaz. Ayr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 bir gram petekte Amerikan Yavru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etkeni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Paenibacillus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larvea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spor ve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vejetatif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formu ile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Nosemosis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etkenleri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Nosema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apis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Nosema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cerene sporlar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bulunamaz.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Etiketinde orijin ald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ek, bitki, b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 veya co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rafya belirtilen ballara filtre bal ilave edilemez.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Petekli ballarda, pete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az % 80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Etiketinde botanik orijini belirtilen ballarda, ballar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bu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zelliklerinin polen analizi ile uyumlu olmas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Ek-1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belirlenen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krem bal ve kristalize bal olarak adland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ballar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de ge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erlidir.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Karakovan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do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petekli ballar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 bal olarak piyasaya arz edilemez.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Karakovan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do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petekli bal ad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piyasaya arz edilecek ballarda pete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par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alanmamas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 bal ilave edilmemesi gerekir.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Ballara ait di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 Ek-1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almaktad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Katk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maddeleri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Bala hi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katk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 kat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Aroma vericiler ve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aroma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verme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zelli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ta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şı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yan g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 bile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enleri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Bala hi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bir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aroma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verici ve aroma verme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bile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enleri kat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Bula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anlar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nlerde,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29/12/2011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28157 3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say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Bula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yer alan h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Pestisit kal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nt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nlerde,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29/12/2011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28157 3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say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Pestisitlerin Maksimum Kal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Limitleri 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yer alan h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Veteriner ila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kal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nt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nlerde,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4/5/2012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28282 say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Hayvansal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dalarda Bulunabilecek Farmakolojik Aktif Maddelerin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Maksimum Kal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Limitleri 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yer alan h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Hijyen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nlerde,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29/12/2011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28157 3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say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Mikrobiyolojik Kriterler 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17/12/2011 tarihli ve 28145 say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Hijyeni 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yer alan h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Ambalajlama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ambalajlar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29/12/2011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28157 3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say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ile Temas Eden Madde ve Malzemeler 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yer alan h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Etiketleme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nlerde,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29/12/2011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28157 3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say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Etiketleme 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yer alan h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genel kurallara ek olan kurallar 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verilmi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tir: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Etikette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 ya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bebeklere bal yedirilmemelidir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ifadesi yer 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eveli balda net miktara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 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ığı”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ildir.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evelere 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numaralar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Etikette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orijini; salg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 bal ifadesinin yan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ayn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punto ile belirtilir.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Filtre edilmi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ballar ve f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ballar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botanik kayna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belirli ise ve bal bu kayna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ait duyusal, fiziksel, kimyasal ve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mikroskopik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zellikleri belirgin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yorsa,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ismi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hlamur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ı”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orijin ald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bitkinin ad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desteklenebilir.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Filtre edilmi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ballar ve f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ballar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zere, bal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retildi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lgenin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floras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ait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zelikleri belirgin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yorsa,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ismi, co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rafi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aretten do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haklara ayk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olmamak kayd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o b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lgenin b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lgesel, co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rafi veya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topografik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birlikte kullan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F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ballar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etiketinde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sadece pi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irme ama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ı”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ifadesi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ismine yak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kolayca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lebilir bir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yer 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f) F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ballar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olarak kullan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bir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maddesinde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ifadesi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ı”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bile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maddesinin isminde kullan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labilir. Ancak,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enler listesinde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ı”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yer 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Filtre ballar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bu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bu ballarda polen miktar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etikette belirtilir.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Hammadde ambalaj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Sistemine kay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ait hammaddenin kayna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 edecek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RKVET Kay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Sisteminden 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numaras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bulunur.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botanik kayna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Ek-1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Latince ismi verilen botanik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rlerden biri olmas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halinde;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ismi orijini olan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bitkinin ad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desteklenebilir.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Karakovan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adland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rken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birlikte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do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petekli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ifadesi kullan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zme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olmayan 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vamda, kontroll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ullarda kristalize edilmesi halinde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krem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kendili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kristalize olmas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ise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kristalize bal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piyasaya arz edilebilir.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şı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ve depolama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ta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depolanmas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Depolanmas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yer alan kurallara ek olarak; ballar, paketleme/dolum noktas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ula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 kadar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amalarda temiz ve kuru yerlerde kokulardan ari bi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imde, do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korunur ve 25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°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 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mayacak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muhafaza edilir.</w:t>
                  </w:r>
                  <w:proofErr w:type="gramEnd"/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Numune alma ve analiz metotlar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nlerden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belirtilen kurallara uygun olarak numune 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uluslararas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analiz metotlar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AB mevzuat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uyum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20/12/2001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2001/110/AT say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 ile ilgili Konsey Direktifi dikkate al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Avrupa Birli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uyum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haz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yapt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ayk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davrananlar hakk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11/6/2010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5996 say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Veteriner Hizmetleri, Bitki Sa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Yem Kanununun ilgili maddelerine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 uygulan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Diastaz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HMF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erlendirmelerde ortam s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cakl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lerek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tebli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17/12/2005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26026 say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mlanan,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Bal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(Tebli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No: 2005/49) 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Uyum zorunlulu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letmecileri,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mlerine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1/1/2013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uymak zorundad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faaliyet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letmecileri,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uyum sa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ncaya kadar, </w:t>
                  </w:r>
                  <w:proofErr w:type="gram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17/12/2005</w:t>
                  </w:r>
                  <w:proofErr w:type="gram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26026 say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mlanan, 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Bal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(Tebli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No: 2005/49) h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uymak zorundad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A27216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27216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27216" w:rsidRPr="00A27216" w:rsidRDefault="00A27216" w:rsidP="00A27216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A27216" w:rsidRPr="00A27216" w:rsidRDefault="00A27216" w:rsidP="00A272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A2721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Ek-1</w:t>
                  </w:r>
                </w:p>
                <w:p w:rsidR="00A27216" w:rsidRPr="00A27216" w:rsidRDefault="00A27216" w:rsidP="00A272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2721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Ballara Ait Diğer Özellikler</w:t>
                  </w:r>
                </w:p>
                <w:p w:rsidR="00A27216" w:rsidRPr="00A27216" w:rsidRDefault="00A27216" w:rsidP="00A2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92"/>
                    <w:gridCol w:w="2452"/>
                    <w:gridCol w:w="1636"/>
                    <w:gridCol w:w="1411"/>
                    <w:gridCol w:w="1292"/>
                    <w:gridCol w:w="222"/>
                  </w:tblGrid>
                  <w:tr w:rsidR="00A27216" w:rsidRPr="00A27216">
                    <w:trPr>
                      <w:trHeight w:val="20"/>
                      <w:tblHeader/>
                      <w:jc w:val="center"/>
                    </w:trPr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Çiçek Balı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Salgı Balı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Çiçek ve Salgı Balı Karışımı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Fırıncılık Balı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Nem (en fazla)</w:t>
                        </w:r>
                      </w:p>
                    </w:tc>
                    <w:tc>
                      <w:tcPr>
                        <w:tcW w:w="581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 20</w:t>
                        </w: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 20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 20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 23</w:t>
                        </w: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76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3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% 25 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Püren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Calluna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kaynaklı fırıncılık ballarında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% 23 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Püren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Calluna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ballarında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Sakaroz </w:t>
                        </w: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(en fazla)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 g/100 g</w:t>
                        </w: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 g/100 g</w:t>
                        </w: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 g/100 g</w:t>
                        </w:r>
                      </w:p>
                    </w:tc>
                    <w:tc>
                      <w:tcPr>
                        <w:tcW w:w="23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 g/100 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10g/100g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gram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Yalancı akasya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Robina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psedoacacia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Adi yonca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Medicago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sativa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Menzies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Banksia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Banksia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meziesii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Tatlı yonca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Hedysarum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Kırmızı okaliptüs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Eucalyptus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camadulensis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Meşin ağacı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Eucryhia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lucida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Eucyrphia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milliganii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 ve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Narenciye ballarında</w:t>
                        </w:r>
                        <w:proofErr w:type="gram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proofErr w:type="gramEnd"/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 xml:space="preserve">10g/100g 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gram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Kızıl çam</w:t>
                        </w:r>
                        <w:proofErr w:type="gram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Pinus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brutia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ve Fıstık </w:t>
                        </w: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çamlarından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Pinus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pinea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elde edilen salgı ballarında)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 g/100 g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Lavanta çiçeği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Lavandula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spp</w:t>
                        </w:r>
                        <w:proofErr w:type="spellEnd"/>
                        <w:proofErr w:type="gram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.,</w:t>
                        </w:r>
                        <w:proofErr w:type="gram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Boraga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officinalis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ballarında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Fruktoz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+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Glukoz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(en az)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100 g’da 60 g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100 g’da 45 g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100 g’da 45 g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Fruktoz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/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Glukoz</w:t>
                        </w:r>
                        <w:proofErr w:type="spellEnd"/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0,9 - 1,4 </w:t>
                        </w:r>
                      </w:p>
                    </w:tc>
                    <w:tc>
                      <w:tcPr>
                        <w:tcW w:w="3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1,0-1,4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1,0-1,4</w:t>
                        </w:r>
                      </w:p>
                    </w:tc>
                    <w:tc>
                      <w:tcPr>
                        <w:tcW w:w="23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1,0-1,85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Kestane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tr-TR"/>
                          </w:rPr>
                          <w:t>Castanea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tr-TR"/>
                          </w:rPr>
                          <w:t>sativa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1,2-1,85 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Akasya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tr-TR"/>
                          </w:rPr>
                          <w:t>Robinia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tr-TR"/>
                          </w:rPr>
                          <w:t>pseudoacacia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1,0-1,65 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Kekik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tr-TR"/>
                          </w:rPr>
                          <w:t>Thymus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tr-TR"/>
                          </w:rPr>
                          <w:t>spp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Suda çözünmeyen madde (en fazla)*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 g/100 g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 g/100 g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 g/100 g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 g/100 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Serbest asitlik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(en fazla)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50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meq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/kg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50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meq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/kg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50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meq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/kg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80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meq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/kg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Elektrik iletkenliği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 fazla 0,8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mS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/cm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gram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Kocayemiş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Arbutus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unedo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),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Çanotu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Erica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), 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Okaliptus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,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Ihlamur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Tilia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spp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.)</w:t>
                        </w: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Süpürgeçalı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Calluna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vulgaris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Okyanus mersini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tr-TR"/>
                          </w:rPr>
                          <w:t>leptospermum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Çay ağacı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Melaleuca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spp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), </w:t>
                        </w: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</w:t>
                        </w: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iCs/>
                            <w:sz w:val="18"/>
                            <w:szCs w:val="18"/>
                            <w:lang w:eastAsia="tr-TR"/>
                          </w:rPr>
                          <w:t>Pamuk</w:t>
                        </w:r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Gossipium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spp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.’</w:t>
                        </w:r>
                        <w:proofErr w:type="gram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dan</w:t>
                        </w:r>
                        <w:proofErr w:type="gram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elde edilenler hariç )</w:t>
                        </w:r>
                      </w:p>
                    </w:tc>
                    <w:tc>
                      <w:tcPr>
                        <w:tcW w:w="3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 az 0,8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mS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/cm</w:t>
                        </w: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 fazla 0,8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mS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/cm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3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 fazla 0,8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mS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/cm</w:t>
                        </w: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 az 0,8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mS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/cm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(Kestane balında)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 az 0,8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mS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/cm 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(Kestane balı ve salgı balı karışımlarında)</w:t>
                        </w: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Diastaz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sayısı</w:t>
                        </w: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(en az)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3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3 </w:t>
                        </w: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(Narenciye balı gibi yapısında doğal olarak düşük miktarda enzim bulunan ve doğal olarak HMF miktarı 15 mg/kg’dan fazla olmayan balda)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lastRenderedPageBreak/>
                          <w:t>HMF (en fazla)**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40 mg/kg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40 mg/kg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40 mg/kg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Balda protein ve ham bal delta Cl3 değerleri arasındaki fark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-1,0 veya daha pozitif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-1,0 veya daha pozitif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-1,0 veya daha pozitif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-1,0 veya daha pozitif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Balda protein ve ham bal delta Cl3 değerlerinden hesaplanan C4 şekerleri oranı </w:t>
                        </w: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(en fazla)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%7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%7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%7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Prolin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miktarı</w:t>
                        </w: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(en az)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300 mg/kg </w:t>
                        </w:r>
                      </w:p>
                    </w:tc>
                    <w:tc>
                      <w:tcPr>
                        <w:tcW w:w="3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300 mg/kg 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300 mg/kg </w:t>
                        </w:r>
                      </w:p>
                    </w:tc>
                    <w:tc>
                      <w:tcPr>
                        <w:tcW w:w="23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180 mg/kg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180 mg/kg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Kanola</w:t>
                        </w:r>
                        <w:proofErr w:type="spellEnd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, ıhlamur, narenciye, lavanta, okaliptüs ballarında)</w:t>
                        </w: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120 mg/kg</w:t>
                        </w:r>
                      </w:p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(Biberiye, akasya ballarında)</w:t>
                        </w:r>
                      </w:p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27216" w:rsidRPr="00A27216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Naftalin miktarı (en fazla)***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10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ppb</w:t>
                        </w:r>
                        <w:proofErr w:type="spellEnd"/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10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ppb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tabs>
                            <w:tab w:val="left" w:pos="4286"/>
                            <w:tab w:val="left" w:pos="5136"/>
                          </w:tabs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10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ppb</w:t>
                        </w:r>
                        <w:proofErr w:type="spellEnd"/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7216" w:rsidRPr="00A27216" w:rsidRDefault="00A27216" w:rsidP="00A2721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10 </w:t>
                        </w:r>
                        <w:proofErr w:type="spellStart"/>
                        <w:r w:rsidRPr="00A2721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ppb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27216" w:rsidRPr="00A27216" w:rsidRDefault="00A27216" w:rsidP="00A272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A27216" w:rsidRPr="00A27216" w:rsidRDefault="00A27216" w:rsidP="00A27216">
                  <w:pPr>
                    <w:tabs>
                      <w:tab w:val="left" w:pos="1080"/>
                    </w:tabs>
                    <w:spacing w:after="0" w:line="240" w:lineRule="auto"/>
                    <w:ind w:hanging="18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A27216" w:rsidRPr="00A27216" w:rsidRDefault="00A27216" w:rsidP="00A27216">
                  <w:pPr>
                    <w:tabs>
                      <w:tab w:val="left" w:pos="1080"/>
                    </w:tabs>
                    <w:spacing w:after="0" w:line="240" w:lineRule="auto"/>
                    <w:ind w:left="471" w:hanging="471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272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* </w:t>
                  </w:r>
                  <w:r w:rsidRPr="00A272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  <w:t>Pres balında suda çözünmeyen madde miktarı 0, 5 g/100 g’ı geçemez.</w:t>
                  </w:r>
                </w:p>
                <w:p w:rsidR="00A27216" w:rsidRPr="00A27216" w:rsidRDefault="00A27216" w:rsidP="00A27216">
                  <w:pPr>
                    <w:spacing w:after="0" w:line="240" w:lineRule="auto"/>
                    <w:ind w:left="471" w:hanging="471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272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** </w:t>
                  </w:r>
                  <w:r w:rsidRPr="00A272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  <w:t>Üretildiği bölge etiketinde belirtilmek koşulu ile tropikal ülke kaynaklı ballarda HMF miktarı en çok 80 mg/kg olur.</w:t>
                  </w:r>
                </w:p>
                <w:p w:rsidR="00A27216" w:rsidRPr="00A27216" w:rsidRDefault="00A27216" w:rsidP="00A27216">
                  <w:pPr>
                    <w:spacing w:after="0" w:line="240" w:lineRule="auto"/>
                    <w:ind w:left="471" w:hanging="471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272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*** </w:t>
                  </w:r>
                  <w:r w:rsidRPr="00A272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  <w:t xml:space="preserve">Balmumunda naftalin miktarı 10 </w:t>
                  </w:r>
                  <w:proofErr w:type="spellStart"/>
                  <w:r w:rsidRPr="00A272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ppb’den</w:t>
                  </w:r>
                  <w:proofErr w:type="spellEnd"/>
                  <w:r w:rsidRPr="00A272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fazla olamaz.</w:t>
                  </w:r>
                </w:p>
                <w:p w:rsidR="00A27216" w:rsidRPr="00A27216" w:rsidRDefault="00A27216" w:rsidP="00A272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A27216" w:rsidRPr="00A27216" w:rsidRDefault="00A27216" w:rsidP="00A2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27216" w:rsidRPr="00A27216" w:rsidRDefault="00A27216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7216" w:rsidRPr="00A27216" w:rsidRDefault="00A27216" w:rsidP="00A27216"/>
    <w:sectPr w:rsidR="00A27216" w:rsidRPr="00A2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16"/>
    <w:rsid w:val="001C6BB4"/>
    <w:rsid w:val="00A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272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A27216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A27216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A2721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272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A27216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A27216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A2721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2024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KESKİNKILIÇ</dc:creator>
  <cp:lastModifiedBy>Kenan KESKİNKILIÇ</cp:lastModifiedBy>
  <cp:revision>1</cp:revision>
  <dcterms:created xsi:type="dcterms:W3CDTF">2012-07-30T09:44:00Z</dcterms:created>
  <dcterms:modified xsi:type="dcterms:W3CDTF">2012-07-30T09:54:00Z</dcterms:modified>
</cp:coreProperties>
</file>